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北京地区最具投资价值文化创意企业</w:t>
      </w:r>
    </w:p>
    <w:p>
      <w:pPr>
        <w:spacing w:line="520" w:lineRule="exact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评选方案</w:t>
      </w:r>
    </w:p>
    <w:p>
      <w:pPr>
        <w:numPr>
          <w:ilvl w:val="0"/>
          <w:numId w:val="1"/>
        </w:numPr>
        <w:spacing w:line="520" w:lineRule="exact"/>
        <w:jc w:val="left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活动介绍</w:t>
      </w:r>
    </w:p>
    <w:p>
      <w:pPr>
        <w:spacing w:line="520" w:lineRule="exact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 xml:space="preserve">  </w:t>
      </w:r>
      <w:r>
        <w:rPr>
          <w:rFonts w:hint="eastAsia" w:ascii="微软雅黑" w:hAnsi="微软雅黑" w:eastAsia="微软雅黑" w:cs="微软雅黑"/>
          <w:sz w:val="24"/>
          <w:szCs w:val="24"/>
        </w:rPr>
        <w:t>改革开放的40年，是中华文化蓬勃发展的40年，文化“走出去”新格局逐渐形成，国家文化软实力得到提升。在过去的五年时间里，中国迎来品质消费的时代，文创产业如星火燎原，年均增速超过13%。文创，代表着大众一种对创造力和想象力的尊重与追求。</w:t>
      </w:r>
    </w:p>
    <w:p>
      <w:pPr>
        <w:spacing w:line="520" w:lineRule="exact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 值此之际，北京市文化创意产业促进中心联合清科集团共同举办“北京地区最具投资价值文化创意企业”评选活动。旨在切实推进文化创意产业项目与资本结合，立足于考察和挖掘优质文化创意企业，用专业和权威的眼光透视企业的成长潜力并向资本方推介，助力入选企业成功融资并有效降低金融风险影响，促进文化创意企业快速健康发展。活动将遵循“责任、专业、推动力”的理念，邀请投资界知名专家担任评委，评选出50家北京地区最具投资价值文化创意企业。</w:t>
      </w:r>
    </w:p>
    <w:p>
      <w:pPr>
        <w:spacing w:line="520" w:lineRule="exact"/>
        <w:ind w:firstLine="480" w:firstLineChars="20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自2012年以来，评选已连续举办七年。最终榜单已成为北京市乃至全国对文化创意企业投资的风向标，为众多北京地区文化创意企业的发展带来了更多的资本支持。</w:t>
      </w:r>
    </w:p>
    <w:p>
      <w:pPr>
        <w:spacing w:line="520" w:lineRule="exact"/>
        <w:jc w:val="left"/>
        <w:rPr>
          <w:rFonts w:hint="eastAsia" w:asciiTheme="majorEastAsia" w:hAnsiTheme="majorEastAsia" w:eastAsiaTheme="majorEastAsia" w:cstheme="majorEastAsia"/>
          <w:sz w:val="44"/>
          <w:szCs w:val="44"/>
        </w:rPr>
      </w:pPr>
    </w:p>
    <w:p>
      <w:pPr>
        <w:numPr>
          <w:ilvl w:val="0"/>
          <w:numId w:val="1"/>
        </w:numPr>
        <w:spacing w:line="520" w:lineRule="exact"/>
        <w:jc w:val="left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参选资格</w:t>
      </w:r>
    </w:p>
    <w:p>
      <w:pPr>
        <w:numPr>
          <w:ilvl w:val="0"/>
          <w:numId w:val="2"/>
        </w:numPr>
        <w:spacing w:line="520" w:lineRule="exact"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属于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文化创意产业</w:t>
      </w:r>
      <w:r>
        <w:rPr>
          <w:rFonts w:hint="eastAsia" w:ascii="微软雅黑" w:hAnsi="微软雅黑" w:eastAsia="微软雅黑" w:cs="微软雅黑"/>
          <w:sz w:val="24"/>
          <w:szCs w:val="24"/>
        </w:rPr>
        <w:t>；</w:t>
      </w:r>
    </w:p>
    <w:p>
      <w:pPr>
        <w:numPr>
          <w:ilvl w:val="0"/>
          <w:numId w:val="0"/>
        </w:numPr>
        <w:spacing w:line="520" w:lineRule="exact"/>
        <w:ind w:firstLine="480" w:firstLineChars="20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2、必须为未上市企业；</w:t>
      </w:r>
    </w:p>
    <w:p>
      <w:pPr>
        <w:spacing w:line="520" w:lineRule="exact"/>
        <w:ind w:firstLine="480" w:firstLineChars="20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3、企业运营主体设在中国北京；</w:t>
      </w:r>
    </w:p>
    <w:p>
      <w:pPr>
        <w:spacing w:line="520" w:lineRule="exact"/>
        <w:ind w:firstLine="480" w:firstLineChars="20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4、具有投资潜质的高成长企业；</w:t>
      </w:r>
    </w:p>
    <w:p>
      <w:pPr>
        <w:spacing w:line="520" w:lineRule="exact"/>
        <w:jc w:val="left"/>
        <w:rPr>
          <w:rFonts w:asciiTheme="majorEastAsia" w:hAnsiTheme="majorEastAsia" w:eastAsiaTheme="majorEastAsia" w:cstheme="majorEastAsia"/>
          <w:sz w:val="44"/>
          <w:szCs w:val="44"/>
        </w:rPr>
      </w:pPr>
    </w:p>
    <w:p>
      <w:pPr>
        <w:numPr>
          <w:ilvl w:val="0"/>
          <w:numId w:val="1"/>
        </w:numPr>
        <w:spacing w:line="520" w:lineRule="exact"/>
        <w:jc w:val="left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评选指标</w:t>
      </w:r>
    </w:p>
    <w:p>
      <w:pPr>
        <w:numPr>
          <w:ilvl w:val="0"/>
          <w:numId w:val="0"/>
        </w:numPr>
        <w:spacing w:line="520" w:lineRule="exact"/>
        <w:ind w:firstLine="480" w:firstLineChars="20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24"/>
          <w:szCs w:val="24"/>
        </w:rPr>
        <w:t>、商业模式的有效性；</w:t>
      </w:r>
    </w:p>
    <w:p>
      <w:pPr>
        <w:spacing w:line="520" w:lineRule="exact"/>
        <w:ind w:firstLine="480" w:firstLineChars="20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2、公司业务与竞争力；</w:t>
      </w:r>
    </w:p>
    <w:p>
      <w:pPr>
        <w:spacing w:line="520" w:lineRule="exact"/>
        <w:ind w:firstLine="480" w:firstLineChars="20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3、企业的市场开拓能力；</w:t>
      </w:r>
    </w:p>
    <w:p>
      <w:pPr>
        <w:spacing w:line="520" w:lineRule="exact"/>
        <w:jc w:val="left"/>
        <w:rPr>
          <w:rFonts w:ascii="方正清刻本悦宋简体" w:hAnsi="方正清刻本悦宋简体" w:eastAsia="方正清刻本悦宋简体" w:cs="方正清刻本悦宋简体"/>
          <w:sz w:val="28"/>
          <w:szCs w:val="28"/>
        </w:rPr>
      </w:pPr>
    </w:p>
    <w:p>
      <w:pPr>
        <w:numPr>
          <w:ilvl w:val="0"/>
          <w:numId w:val="1"/>
        </w:numPr>
        <w:spacing w:line="520" w:lineRule="exact"/>
        <w:jc w:val="left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评选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方式</w:t>
      </w:r>
    </w:p>
    <w:p>
      <w:pPr>
        <w:spacing w:line="520" w:lineRule="exact"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1、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信息提交   8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日-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月1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日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 </w:t>
      </w:r>
    </w:p>
    <w:p>
      <w:pPr>
        <w:spacing w:line="520" w:lineRule="exact"/>
        <w:ind w:firstLine="480" w:firstLineChars="200"/>
        <w:jc w:val="left"/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请如实并完整填写《北京地区最具投资价值文化创意企业 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"mailto:信息征集表》，于5月10日前发送至邮箱mariajiang@zero2ipo.com.cn。" </w:instrTex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13"/>
          <w:rFonts w:hint="eastAsia" w:ascii="微软雅黑" w:hAnsi="微软雅黑" w:eastAsia="微软雅黑" w:cs="微软雅黑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信息征集表》，于5月10日前发送至邮箱</w:t>
      </w:r>
      <w:r>
        <w:rPr>
          <w:rStyle w:val="13"/>
          <w:rFonts w:hint="eastAsia" w:ascii="微软雅黑" w:hAnsi="微软雅黑" w:eastAsia="微软雅黑" w:cs="微软雅黑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mariajiang@zero2ipo.com.cn</w:t>
      </w:r>
      <w:r>
        <w:rPr>
          <w:rStyle w:val="13"/>
          <w:rFonts w:hint="eastAsia" w:ascii="微软雅黑" w:hAnsi="微软雅黑" w:eastAsia="微软雅黑" w:cs="微软雅黑"/>
          <w:color w:val="000000" w:themeColor="text1"/>
          <w:sz w:val="24"/>
          <w:szCs w:val="24"/>
          <w:u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520" w:lineRule="exact"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 xml:space="preserve">2、审核评选   8月12日-8月17日 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</w:p>
    <w:p>
      <w:pPr>
        <w:spacing w:line="520" w:lineRule="exact"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邀请来自多家优秀机构的投资人担任此次活动的评委，依照评选指标对企业适应性、创造性、运营能力等方面进行综合评估，排名前50家入围最终榜单。</w:t>
      </w:r>
    </w:p>
    <w:p>
      <w:pPr>
        <w:spacing w:line="520" w:lineRule="exact"/>
        <w:ind w:firstLine="480" w:firstLineChars="20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、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榜单发布   8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 xml:space="preserve">8日      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     </w:t>
      </w:r>
    </w:p>
    <w:p>
      <w:pPr>
        <w:spacing w:line="520" w:lineRule="exact"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第八届中国文化金融创新大会活动现场发布榜单。</w:t>
      </w:r>
    </w:p>
    <w:p>
      <w:pPr>
        <w:spacing w:line="520" w:lineRule="exact"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spacing w:line="520" w:lineRule="exact"/>
        <w:jc w:val="left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参选方式</w:t>
      </w:r>
    </w:p>
    <w:p>
      <w:pPr>
        <w:spacing w:line="520" w:lineRule="exact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 xml:space="preserve">  </w:t>
      </w:r>
      <w:r>
        <w:rPr>
          <w:rFonts w:hint="eastAsia" w:ascii="微软雅黑" w:hAnsi="微软雅黑" w:eastAsia="微软雅黑" w:cs="微软雅黑"/>
          <w:sz w:val="24"/>
          <w:szCs w:val="24"/>
        </w:rPr>
        <w:t>填写《北京地区最具投资价值文化创意企业 信息征集表》（附件），并将此表发送至邮箱mariajiang@zero2ipo.com.cn。</w:t>
      </w:r>
    </w:p>
    <w:p>
      <w:pPr>
        <w:numPr>
          <w:ilvl w:val="0"/>
          <w:numId w:val="0"/>
        </w:numPr>
        <w:spacing w:line="520" w:lineRule="exact"/>
        <w:jc w:val="left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numPr>
          <w:ilvl w:val="0"/>
          <w:numId w:val="0"/>
        </w:numPr>
        <w:spacing w:line="520" w:lineRule="exact"/>
        <w:jc w:val="left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六、榜单回顾</w:t>
      </w:r>
    </w:p>
    <w:p>
      <w:pPr>
        <w:spacing w:line="520" w:lineRule="exact"/>
        <w:jc w:val="left"/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2018年 榜单链接：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"https://news.pedaily.cn/201810/437014.shtml" </w:instrTex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13"/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https://news.pedaily.cn/201810/437014.shtml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520" w:lineRule="exact"/>
        <w:jc w:val="left"/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2018年 官网链接：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http://events.pedaily.cn/customized/717/introduction.shtml</w:t>
      </w:r>
    </w:p>
    <w:p>
      <w:pPr>
        <w:spacing w:line="520" w:lineRule="exact"/>
        <w:jc w:val="left"/>
        <w:rPr>
          <w:rFonts w:ascii="微软雅黑" w:hAnsi="微软雅黑" w:eastAsia="微软雅黑" w:cs="微软雅黑"/>
          <w:sz w:val="24"/>
          <w:szCs w:val="24"/>
        </w:rPr>
      </w:pPr>
    </w:p>
    <w:p>
      <w:pPr>
        <w:spacing w:line="520" w:lineRule="exact"/>
        <w:jc w:val="left"/>
        <w:rPr>
          <w:rFonts w:ascii="微软雅黑" w:hAnsi="微软雅黑" w:eastAsia="微软雅黑" w:cs="微软雅黑"/>
          <w:sz w:val="24"/>
          <w:szCs w:val="24"/>
        </w:rPr>
      </w:pPr>
    </w:p>
    <w:p>
      <w:pPr>
        <w:spacing w:line="520" w:lineRule="exact"/>
        <w:jc w:val="left"/>
        <w:rPr>
          <w:rFonts w:ascii="微软雅黑" w:hAnsi="微软雅黑" w:eastAsia="微软雅黑" w:cs="微软雅黑"/>
          <w:sz w:val="24"/>
          <w:szCs w:val="24"/>
        </w:rPr>
      </w:pPr>
    </w:p>
    <w:p>
      <w:pPr>
        <w:spacing w:line="520" w:lineRule="exact"/>
        <w:jc w:val="left"/>
        <w:rPr>
          <w:rFonts w:ascii="微软雅黑" w:hAnsi="微软雅黑" w:eastAsia="微软雅黑" w:cs="微软雅黑"/>
          <w:sz w:val="24"/>
          <w:szCs w:val="24"/>
        </w:rPr>
      </w:pPr>
    </w:p>
    <w:p>
      <w:pPr>
        <w:spacing w:line="520" w:lineRule="exact"/>
        <w:jc w:val="left"/>
        <w:rPr>
          <w:rFonts w:ascii="微软雅黑" w:hAnsi="微软雅黑" w:eastAsia="微软雅黑" w:cs="微软雅黑"/>
          <w:sz w:val="24"/>
          <w:szCs w:val="24"/>
        </w:rPr>
      </w:pPr>
    </w:p>
    <w:p>
      <w:pPr>
        <w:spacing w:line="520" w:lineRule="exact"/>
        <w:jc w:val="left"/>
        <w:rPr>
          <w:rFonts w:ascii="微软雅黑" w:hAnsi="微软雅黑" w:eastAsia="微软雅黑" w:cs="微软雅黑"/>
          <w:sz w:val="24"/>
          <w:szCs w:val="24"/>
        </w:rPr>
      </w:pPr>
    </w:p>
    <w:p>
      <w:pPr>
        <w:spacing w:line="520" w:lineRule="exact"/>
        <w:jc w:val="left"/>
        <w:rPr>
          <w:rFonts w:ascii="微软雅黑" w:hAnsi="微软雅黑" w:eastAsia="微软雅黑" w:cs="微软雅黑"/>
          <w:sz w:val="24"/>
          <w:szCs w:val="24"/>
        </w:rPr>
      </w:pPr>
    </w:p>
    <w:p>
      <w:pPr>
        <w:spacing w:line="520" w:lineRule="exact"/>
        <w:jc w:val="left"/>
        <w:rPr>
          <w:rFonts w:ascii="微软雅黑" w:hAnsi="微软雅黑" w:eastAsia="微软雅黑" w:cs="微软雅黑"/>
          <w:sz w:val="24"/>
          <w:szCs w:val="24"/>
        </w:rPr>
      </w:pPr>
    </w:p>
    <w:p>
      <w:pPr>
        <w:spacing w:line="520" w:lineRule="exact"/>
        <w:jc w:val="left"/>
        <w:rPr>
          <w:rFonts w:ascii="微软雅黑" w:hAnsi="微软雅黑" w:eastAsia="微软雅黑" w:cs="微软雅黑"/>
          <w:sz w:val="24"/>
          <w:szCs w:val="24"/>
        </w:rPr>
      </w:pPr>
    </w:p>
    <w:p>
      <w:pPr>
        <w:spacing w:line="520" w:lineRule="exact"/>
        <w:jc w:val="left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附件</w:t>
      </w:r>
    </w:p>
    <w:p>
      <w:pPr>
        <w:spacing w:line="500" w:lineRule="exact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北京地区最具投资价值文化创意企业</w:t>
      </w:r>
    </w:p>
    <w:p>
      <w:pPr>
        <w:spacing w:line="500" w:lineRule="exact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信息征集表</w:t>
      </w:r>
    </w:p>
    <w:p>
      <w:pPr>
        <w:spacing w:line="360" w:lineRule="exact"/>
        <w:jc w:val="left"/>
        <w:rPr>
          <w:rFonts w:ascii="微软雅黑" w:hAnsi="微软雅黑" w:eastAsia="微软雅黑" w:cs="微软雅黑"/>
          <w:b/>
          <w:color w:val="C00000"/>
          <w:sz w:val="20"/>
          <w:szCs w:val="18"/>
        </w:rPr>
      </w:pPr>
      <w:r>
        <w:rPr>
          <w:rFonts w:hint="eastAsia" w:ascii="微软雅黑" w:hAnsi="微软雅黑" w:eastAsia="微软雅黑" w:cs="微软雅黑"/>
          <w:b/>
          <w:color w:val="C00000"/>
          <w:sz w:val="20"/>
          <w:szCs w:val="18"/>
        </w:rPr>
        <w:t>参选指南：</w:t>
      </w:r>
    </w:p>
    <w:p>
      <w:pPr>
        <w:numPr>
          <w:ilvl w:val="0"/>
          <w:numId w:val="3"/>
        </w:numPr>
        <w:spacing w:line="360" w:lineRule="exact"/>
        <w:jc w:val="left"/>
        <w:rPr>
          <w:rFonts w:ascii="微软雅黑" w:hAnsi="微软雅黑" w:eastAsia="微软雅黑" w:cs="微软雅黑"/>
          <w:bCs/>
          <w:color w:val="000000" w:themeColor="text1"/>
          <w:sz w:val="20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sz w:val="20"/>
          <w:szCs w:val="18"/>
          <w14:textFill>
            <w14:solidFill>
              <w14:schemeClr w14:val="tx1"/>
            </w14:solidFill>
          </w14:textFill>
        </w:rPr>
        <w:t>参选资格：</w:t>
      </w:r>
      <w:r>
        <w:rPr>
          <w:rFonts w:hint="eastAsia" w:ascii="微软雅黑" w:hAnsi="微软雅黑" w:eastAsia="微软雅黑" w:cs="微软雅黑"/>
          <w:bCs/>
          <w:color w:val="000000" w:themeColor="text1"/>
          <w:sz w:val="20"/>
          <w:szCs w:val="18"/>
          <w14:textFill>
            <w14:solidFill>
              <w14:schemeClr w14:val="tx1"/>
            </w14:solidFill>
          </w14:textFill>
        </w:rPr>
        <w:t>属于文化创意产业 /必须为未上市企业 /企业运营主体设在中国北京 /具有投资潜质的高成长企业</w:t>
      </w:r>
    </w:p>
    <w:p>
      <w:pPr>
        <w:numPr>
          <w:ilvl w:val="0"/>
          <w:numId w:val="3"/>
        </w:numPr>
        <w:spacing w:line="360" w:lineRule="exact"/>
        <w:jc w:val="left"/>
        <w:rPr>
          <w:rFonts w:ascii="微软雅黑" w:hAnsi="微软雅黑" w:eastAsia="微软雅黑" w:cs="微软雅黑"/>
          <w:b/>
          <w:color w:val="000000" w:themeColor="text1"/>
          <w:sz w:val="20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sz w:val="20"/>
          <w:szCs w:val="18"/>
          <w14:textFill>
            <w14:solidFill>
              <w14:schemeClr w14:val="tx1"/>
            </w14:solidFill>
          </w14:textFill>
        </w:rPr>
        <w:t>评选指标：</w:t>
      </w:r>
      <w:r>
        <w:rPr>
          <w:rFonts w:hint="eastAsia" w:ascii="微软雅黑" w:hAnsi="微软雅黑" w:eastAsia="微软雅黑" w:cs="微软雅黑"/>
          <w:bCs/>
          <w:color w:val="000000" w:themeColor="text1"/>
          <w:sz w:val="20"/>
          <w:szCs w:val="18"/>
          <w14:textFill>
            <w14:solidFill>
              <w14:schemeClr w14:val="tx1"/>
            </w14:solidFill>
          </w14:textFill>
        </w:rPr>
        <w:t>商业模式的有效性 /公司业务与竞争力 /企业的市场开拓能力</w:t>
      </w:r>
    </w:p>
    <w:p>
      <w:pPr>
        <w:numPr>
          <w:ilvl w:val="0"/>
          <w:numId w:val="4"/>
        </w:numPr>
        <w:spacing w:line="360" w:lineRule="exact"/>
        <w:jc w:val="left"/>
        <w:rPr>
          <w:rFonts w:ascii="微软雅黑" w:hAnsi="微软雅黑" w:eastAsia="微软雅黑" w:cs="微软雅黑"/>
          <w:sz w:val="20"/>
          <w:szCs w:val="18"/>
        </w:rPr>
      </w:pPr>
      <w:r>
        <w:rPr>
          <w:rFonts w:hint="eastAsia" w:ascii="微软雅黑" w:hAnsi="微软雅黑" w:eastAsia="微软雅黑" w:cs="微软雅黑"/>
          <w:sz w:val="20"/>
          <w:szCs w:val="18"/>
        </w:rPr>
        <w:t>以下信息将全部作为评委评审的重要依据，请填写完整并保证资料的真实性；</w:t>
      </w:r>
    </w:p>
    <w:p>
      <w:pPr>
        <w:numPr>
          <w:ilvl w:val="0"/>
          <w:numId w:val="4"/>
        </w:numPr>
        <w:spacing w:line="360" w:lineRule="exact"/>
        <w:jc w:val="left"/>
        <w:rPr>
          <w:rFonts w:ascii="微软雅黑" w:hAnsi="微软雅黑" w:eastAsia="微软雅黑" w:cs="微软雅黑"/>
          <w:sz w:val="20"/>
          <w:szCs w:val="18"/>
        </w:rPr>
      </w:pPr>
      <w:r>
        <w:rPr>
          <w:rFonts w:hint="eastAsia" w:ascii="微软雅黑" w:hAnsi="微软雅黑" w:eastAsia="微软雅黑" w:cs="微软雅黑"/>
          <w:sz w:val="20"/>
          <w:szCs w:val="18"/>
        </w:rPr>
        <w:t>评委将根据表格信息内容给予综合评分，请将表格发送至邮箱mariajiang@zero2ipo.com.cn</w:t>
      </w:r>
    </w:p>
    <w:p>
      <w:pPr>
        <w:jc w:val="left"/>
        <w:rPr>
          <w:rFonts w:ascii="Times New Roman" w:hAnsi="Times New Roman" w:eastAsia="宋体" w:cs="Times New Roman"/>
          <w:b/>
          <w:bCs/>
          <w:kern w:val="44"/>
          <w:sz w:val="44"/>
          <w:szCs w:val="44"/>
        </w:rPr>
      </w:pPr>
    </w:p>
    <w:tbl>
      <w:tblPr>
        <w:tblStyle w:val="9"/>
        <w:tblpPr w:leftFromText="180" w:rightFromText="180" w:vertAnchor="text" w:tblpY="1"/>
        <w:tblOverlap w:val="never"/>
        <w:tblW w:w="98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1447"/>
        <w:gridCol w:w="1947"/>
        <w:gridCol w:w="51"/>
        <w:gridCol w:w="658"/>
        <w:gridCol w:w="1134"/>
        <w:gridCol w:w="54"/>
        <w:gridCol w:w="2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基本信息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公司全称</w:t>
            </w:r>
          </w:p>
        </w:tc>
        <w:tc>
          <w:tcPr>
            <w:tcW w:w="2656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hint="eastAsia"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公司</w:t>
            </w:r>
            <w:r>
              <w:rPr>
                <w:rFonts w:ascii="微软雅黑" w:hAnsi="微软雅黑" w:eastAsia="微软雅黑" w:cs="微软雅黑"/>
                <w:b/>
                <w:szCs w:val="21"/>
              </w:rPr>
              <w:t>简称</w:t>
            </w:r>
          </w:p>
        </w:tc>
        <w:tc>
          <w:tcPr>
            <w:tcW w:w="2668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195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</w:p>
        </w:tc>
        <w:tc>
          <w:tcPr>
            <w:tcW w:w="7905" w:type="dxa"/>
            <w:gridSpan w:val="7"/>
            <w:shd w:val="clear" w:color="auto" w:fill="auto"/>
            <w:vAlign w:val="center"/>
          </w:tcPr>
          <w:p>
            <w:pPr>
              <w:spacing w:line="276" w:lineRule="auto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公司介绍：</w:t>
            </w: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Cs w:val="21"/>
              </w:rPr>
              <w:t>300字以内</w:t>
            </w: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成立时间</w:t>
            </w:r>
          </w:p>
        </w:tc>
        <w:tc>
          <w:tcPr>
            <w:tcW w:w="3394" w:type="dxa"/>
            <w:gridSpan w:val="2"/>
            <w:vAlign w:val="center"/>
          </w:tcPr>
          <w:p>
            <w:pPr>
              <w:spacing w:line="360" w:lineRule="exact"/>
              <w:ind w:left="34" w:hanging="33" w:hangingChars="16"/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60" w:lineRule="exact"/>
              <w:ind w:left="34" w:hanging="34" w:hangingChars="16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注册资本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spacing w:line="360" w:lineRule="exact"/>
              <w:ind w:left="34" w:hanging="33" w:hangingChars="16"/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所属</w:t>
            </w:r>
            <w:r>
              <w:rPr>
                <w:rFonts w:ascii="微软雅黑" w:hAnsi="微软雅黑" w:eastAsia="微软雅黑" w:cs="微软雅黑"/>
                <w:b/>
                <w:bCs/>
                <w:szCs w:val="21"/>
              </w:rPr>
              <w:t>行业</w:t>
            </w:r>
          </w:p>
        </w:tc>
        <w:tc>
          <w:tcPr>
            <w:tcW w:w="3394" w:type="dxa"/>
            <w:gridSpan w:val="2"/>
            <w:vAlign w:val="center"/>
          </w:tcPr>
          <w:p>
            <w:pPr>
              <w:spacing w:line="360" w:lineRule="exact"/>
              <w:ind w:left="34" w:hanging="33" w:hangingChars="16"/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60" w:lineRule="exact"/>
              <w:ind w:left="34" w:hanging="34" w:hangingChars="16"/>
              <w:jc w:val="center"/>
              <w:rPr>
                <w:rFonts w:hint="eastAsia"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细分</w:t>
            </w:r>
            <w:r>
              <w:rPr>
                <w:rFonts w:ascii="微软雅黑" w:hAnsi="微软雅黑" w:eastAsia="微软雅黑" w:cs="微软雅黑"/>
                <w:b/>
                <w:szCs w:val="21"/>
              </w:rPr>
              <w:t>领域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spacing w:line="360" w:lineRule="exact"/>
              <w:ind w:left="34" w:hanging="33" w:hangingChars="16"/>
              <w:jc w:val="left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Cs w:val="21"/>
              </w:rPr>
              <w:t>可写3个</w:t>
            </w: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融资经历</w:t>
            </w:r>
          </w:p>
        </w:tc>
        <w:tc>
          <w:tcPr>
            <w:tcW w:w="3394" w:type="dxa"/>
            <w:gridSpan w:val="2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有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>无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上轮融资轮次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融资时间</w:t>
            </w:r>
          </w:p>
        </w:tc>
        <w:tc>
          <w:tcPr>
            <w:tcW w:w="3394" w:type="dxa"/>
            <w:gridSpan w:val="2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b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投资机构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color w:val="A6A6A6" w:themeColor="background1" w:themeShade="A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959" w:type="dxa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微软雅黑" w:hAnsi="微软雅黑" w:eastAsia="微软雅黑" w:cs="微软雅黑"/>
                <w:b/>
                <w:color w:val="FF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  <w:lang w:val="en-US" w:eastAsia="zh-CN"/>
              </w:rPr>
              <w:t>项目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/产品介绍</w:t>
            </w:r>
          </w:p>
        </w:tc>
        <w:tc>
          <w:tcPr>
            <w:tcW w:w="790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color w:val="FF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Cs w:val="21"/>
              </w:rPr>
              <w:t>（100字以内）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商业模式</w:t>
            </w:r>
          </w:p>
        </w:tc>
        <w:tc>
          <w:tcPr>
            <w:tcW w:w="7905" w:type="dxa"/>
            <w:gridSpan w:val="7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color w:val="7F7F7F" w:themeColor="background1" w:themeShade="8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Cs w:val="21"/>
              </w:rPr>
              <w:t>（100字以内）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业务现状</w:t>
            </w:r>
          </w:p>
        </w:tc>
        <w:tc>
          <w:tcPr>
            <w:tcW w:w="7905" w:type="dxa"/>
            <w:gridSpan w:val="7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color w:val="7F7F7F" w:themeColor="background1" w:themeShade="8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Cs w:val="21"/>
              </w:rPr>
              <w:t>（100字以内）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竞争优势</w:t>
            </w:r>
          </w:p>
        </w:tc>
        <w:tc>
          <w:tcPr>
            <w:tcW w:w="7905" w:type="dxa"/>
            <w:gridSpan w:val="7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color w:val="7F7F7F" w:themeColor="background1" w:themeShade="8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Cs w:val="21"/>
              </w:rPr>
              <w:t>特色优势/所获专利/取得奖项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市场潜力</w:t>
            </w:r>
          </w:p>
        </w:tc>
        <w:tc>
          <w:tcPr>
            <w:tcW w:w="7905" w:type="dxa"/>
            <w:gridSpan w:val="7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color w:val="7F7F7F" w:themeColor="background1" w:themeShade="8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Cs w:val="21"/>
              </w:rPr>
              <w:t>（50字以内）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参选联系人</w:t>
            </w:r>
          </w:p>
        </w:tc>
        <w:tc>
          <w:tcPr>
            <w:tcW w:w="3445" w:type="dxa"/>
            <w:gridSpan w:val="3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b/>
                <w:szCs w:val="21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职位</w:t>
            </w:r>
          </w:p>
        </w:tc>
        <w:tc>
          <w:tcPr>
            <w:tcW w:w="2614" w:type="dxa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手机号码／微信</w:t>
            </w:r>
          </w:p>
        </w:tc>
        <w:tc>
          <w:tcPr>
            <w:tcW w:w="3445" w:type="dxa"/>
            <w:gridSpan w:val="3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b/>
                <w:szCs w:val="21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邮箱</w:t>
            </w:r>
          </w:p>
        </w:tc>
        <w:tc>
          <w:tcPr>
            <w:tcW w:w="2614" w:type="dxa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b/>
                <w:szCs w:val="21"/>
              </w:rPr>
            </w:pPr>
          </w:p>
        </w:tc>
      </w:tr>
    </w:tbl>
    <w:p>
      <w:pPr>
        <w:rPr>
          <w:rFonts w:ascii="微软雅黑" w:hAnsi="微软雅黑" w:eastAsia="微软雅黑" w:cs="微软雅黑"/>
          <w:sz w:val="18"/>
          <w:szCs w:val="18"/>
        </w:rPr>
      </w:pPr>
    </w:p>
    <w:p>
      <w:pPr>
        <w:spacing w:line="520" w:lineRule="exact"/>
        <w:jc w:val="left"/>
        <w:rPr>
          <w:rFonts w:ascii="微软雅黑" w:hAnsi="微软雅黑" w:eastAsia="微软雅黑" w:cs="微软雅黑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454" w:footer="2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清刻本悦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240" w:lineRule="exact"/>
      <w:jc w:val="center"/>
      <w:rPr>
        <w:rFonts w:ascii="微软雅黑" w:hAnsi="微软雅黑" w:eastAsia="微软雅黑" w:cs="微软雅黑"/>
        <w:b/>
        <w:bCs/>
        <w:color w:val="FFFFFF" w:themeColor="background1"/>
        <w:sz w:val="16"/>
        <w:szCs w:val="16"/>
        <w14:textFill>
          <w14:solidFill>
            <w14:schemeClr w14:val="bg1"/>
          </w14:solidFill>
        </w14:textFill>
      </w:rPr>
    </w:pPr>
    <w:r>
      <w:rPr>
        <w:color w:val="FFFFFF" w:themeColor="background1"/>
        <w:sz w:val="16"/>
        <w14:textFill>
          <w14:solidFill>
            <w14:schemeClr w14:val="bg1"/>
          </w14:solidFill>
        </w14:textFill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-687070</wp:posOffset>
              </wp:positionH>
              <wp:positionV relativeFrom="paragraph">
                <wp:posOffset>-24765</wp:posOffset>
              </wp:positionV>
              <wp:extent cx="7591425" cy="398145"/>
              <wp:effectExtent l="0" t="0" r="9525" b="1905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56155" y="9984105"/>
                        <a:ext cx="7591425" cy="39814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-54.1pt;margin-top:-1.95pt;height:31.35pt;width:597.75pt;z-index:-251658240;v-text-anchor:middle;mso-width-relative:page;mso-height-relative:page;" fillcolor="#002060" filled="t" stroked="f" coordsize="21600,21600" o:gfxdata="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GSILi2QAAAAsBAAAP&#10;AAAAAAAAAAEAIAAAACIAAABkcnMvZG93bnJldi54bWxQSwECFAAUAAAACACHTuJA6Bi2ylACAABy&#10;BAAADgAAAAAAAAABACAAAAAoAQAAZHJzL2Uyb0RvYy54bWxQSwUGAAAAAAYABgBZAQAA6gUAAAAA&#10;">
              <v:fill on="t" focussize="0,0"/>
              <v:stroke on="f" weight="2pt"/>
              <v:imagedata o:title=""/>
              <o:lock v:ext="edit" aspectratio="f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exact"/>
      <w:ind w:firstLine="2900" w:firstLineChars="2900"/>
      <w:jc w:val="left"/>
      <w:rPr>
        <w:rStyle w:val="11"/>
        <w:rFonts w:ascii="微软雅黑" w:hAnsi="微软雅黑" w:eastAsia="微软雅黑" w:cs="微软雅黑"/>
        <w:color w:val="333333"/>
        <w:szCs w:val="21"/>
        <w:shd w:val="clear" w:color="auto" w:fill="FFFFFF"/>
      </w:rPr>
    </w:pPr>
    <w:r>
      <w:rPr>
        <w:rFonts w:hint="eastAsia" w:ascii="微软雅黑" w:hAnsi="微软雅黑" w:eastAsia="微软雅黑" w:cs="微软雅黑"/>
        <w:sz w:val="10"/>
        <w:szCs w:val="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64135</wp:posOffset>
          </wp:positionV>
          <wp:extent cx="690880" cy="571500"/>
          <wp:effectExtent l="0" t="0" r="13970" b="0"/>
          <wp:wrapTopAndBottom/>
          <wp:docPr id="4" name="图片 4" descr="111111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1111111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088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line="360" w:lineRule="exact"/>
      <w:ind w:firstLine="6937" w:firstLineChars="3300"/>
      <w:jc w:val="left"/>
      <w:rPr>
        <w:rFonts w:ascii="华文仿宋" w:hAnsi="华文仿宋" w:eastAsia="华文仿宋" w:cs="华文仿宋"/>
        <w:sz w:val="10"/>
        <w:szCs w:val="8"/>
      </w:rPr>
    </w:pPr>
    <w:r>
      <w:rPr>
        <w:rStyle w:val="11"/>
        <w:rFonts w:hint="eastAsia" w:ascii="华文仿宋" w:hAnsi="华文仿宋" w:eastAsia="华文仿宋" w:cs="华文仿宋"/>
        <w:color w:val="333333"/>
        <w:szCs w:val="21"/>
        <w:shd w:val="clear" w:color="auto" w:fill="FFFFFF"/>
      </w:rPr>
      <w:t>第八届中国文化金融创新大会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0D4043"/>
    <w:multiLevelType w:val="singleLevel"/>
    <w:tmpl w:val="820D404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87764208"/>
    <w:multiLevelType w:val="singleLevel"/>
    <w:tmpl w:val="8776420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90ED2A41"/>
    <w:multiLevelType w:val="singleLevel"/>
    <w:tmpl w:val="90ED2A41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>
    <w:nsid w:val="5A7C13EF"/>
    <w:multiLevelType w:val="singleLevel"/>
    <w:tmpl w:val="5A7C13E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4B"/>
    <w:rsid w:val="00000797"/>
    <w:rsid w:val="00016AAC"/>
    <w:rsid w:val="000756EF"/>
    <w:rsid w:val="0009364B"/>
    <w:rsid w:val="00097594"/>
    <w:rsid w:val="000D6597"/>
    <w:rsid w:val="000E6886"/>
    <w:rsid w:val="000F3EE0"/>
    <w:rsid w:val="00102C05"/>
    <w:rsid w:val="00104FD5"/>
    <w:rsid w:val="00111E54"/>
    <w:rsid w:val="00152906"/>
    <w:rsid w:val="001A5C65"/>
    <w:rsid w:val="002074B9"/>
    <w:rsid w:val="00221432"/>
    <w:rsid w:val="00255C12"/>
    <w:rsid w:val="00257955"/>
    <w:rsid w:val="002816CC"/>
    <w:rsid w:val="002825FC"/>
    <w:rsid w:val="00394390"/>
    <w:rsid w:val="003946AC"/>
    <w:rsid w:val="003D1981"/>
    <w:rsid w:val="003D6D39"/>
    <w:rsid w:val="003D758D"/>
    <w:rsid w:val="00403B42"/>
    <w:rsid w:val="00413B51"/>
    <w:rsid w:val="00426E1E"/>
    <w:rsid w:val="00432287"/>
    <w:rsid w:val="00434C3B"/>
    <w:rsid w:val="00462A37"/>
    <w:rsid w:val="00475F6B"/>
    <w:rsid w:val="00476DF2"/>
    <w:rsid w:val="00481968"/>
    <w:rsid w:val="004A3479"/>
    <w:rsid w:val="004D1C51"/>
    <w:rsid w:val="004E1102"/>
    <w:rsid w:val="004F5429"/>
    <w:rsid w:val="0050172C"/>
    <w:rsid w:val="00563AAC"/>
    <w:rsid w:val="00567ED4"/>
    <w:rsid w:val="005A2494"/>
    <w:rsid w:val="005E3C0E"/>
    <w:rsid w:val="006325B0"/>
    <w:rsid w:val="006363D1"/>
    <w:rsid w:val="006465D1"/>
    <w:rsid w:val="006646B8"/>
    <w:rsid w:val="0067342A"/>
    <w:rsid w:val="00692661"/>
    <w:rsid w:val="006A75C1"/>
    <w:rsid w:val="006F0781"/>
    <w:rsid w:val="00706BD9"/>
    <w:rsid w:val="0071610D"/>
    <w:rsid w:val="007606BB"/>
    <w:rsid w:val="007700ED"/>
    <w:rsid w:val="00784171"/>
    <w:rsid w:val="00793748"/>
    <w:rsid w:val="007F0046"/>
    <w:rsid w:val="00843139"/>
    <w:rsid w:val="00880265"/>
    <w:rsid w:val="00894069"/>
    <w:rsid w:val="008A45BC"/>
    <w:rsid w:val="008D4982"/>
    <w:rsid w:val="008D7F5D"/>
    <w:rsid w:val="0090396E"/>
    <w:rsid w:val="00920EE2"/>
    <w:rsid w:val="009231EA"/>
    <w:rsid w:val="009404BB"/>
    <w:rsid w:val="0094383F"/>
    <w:rsid w:val="009661FF"/>
    <w:rsid w:val="00981B49"/>
    <w:rsid w:val="009D495D"/>
    <w:rsid w:val="009E6E18"/>
    <w:rsid w:val="009E73EF"/>
    <w:rsid w:val="00A21BE0"/>
    <w:rsid w:val="00A37426"/>
    <w:rsid w:val="00A90626"/>
    <w:rsid w:val="00AA6BED"/>
    <w:rsid w:val="00AC766E"/>
    <w:rsid w:val="00AE4C4D"/>
    <w:rsid w:val="00BB5AF4"/>
    <w:rsid w:val="00BE1E80"/>
    <w:rsid w:val="00C26416"/>
    <w:rsid w:val="00C273AA"/>
    <w:rsid w:val="00C772BA"/>
    <w:rsid w:val="00CC1A52"/>
    <w:rsid w:val="00CF247A"/>
    <w:rsid w:val="00DF3D07"/>
    <w:rsid w:val="00E379A2"/>
    <w:rsid w:val="00E403C0"/>
    <w:rsid w:val="00E63168"/>
    <w:rsid w:val="00EA5C95"/>
    <w:rsid w:val="00EB4F4F"/>
    <w:rsid w:val="00EB775D"/>
    <w:rsid w:val="00ED2EC0"/>
    <w:rsid w:val="00F8156F"/>
    <w:rsid w:val="00FE41E0"/>
    <w:rsid w:val="07C32CC6"/>
    <w:rsid w:val="0D9C6A8E"/>
    <w:rsid w:val="0E5E2E3A"/>
    <w:rsid w:val="0FFC0BE1"/>
    <w:rsid w:val="138E25AD"/>
    <w:rsid w:val="15C07F75"/>
    <w:rsid w:val="16AB73EC"/>
    <w:rsid w:val="1C5734D1"/>
    <w:rsid w:val="1E301F23"/>
    <w:rsid w:val="1FDD22FB"/>
    <w:rsid w:val="209C5486"/>
    <w:rsid w:val="24B925BD"/>
    <w:rsid w:val="2601511B"/>
    <w:rsid w:val="31092F1A"/>
    <w:rsid w:val="320D34EE"/>
    <w:rsid w:val="386461AA"/>
    <w:rsid w:val="3FED33AB"/>
    <w:rsid w:val="4F5B4354"/>
    <w:rsid w:val="5935540C"/>
    <w:rsid w:val="59AD348E"/>
    <w:rsid w:val="5D27775A"/>
    <w:rsid w:val="5D55264A"/>
    <w:rsid w:val="615B26B2"/>
    <w:rsid w:val="62A404BB"/>
    <w:rsid w:val="65A67858"/>
    <w:rsid w:val="723F46DF"/>
    <w:rsid w:val="7B11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FollowedHyperlink"/>
    <w:basedOn w:val="10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4"/>
    <w:qFormat/>
    <w:uiPriority w:val="99"/>
    <w:rPr>
      <w:sz w:val="18"/>
      <w:szCs w:val="18"/>
    </w:rPr>
  </w:style>
  <w:style w:type="character" w:customStyle="1" w:styleId="17">
    <w:name w:val="批注框文本 Char"/>
    <w:basedOn w:val="10"/>
    <w:link w:val="3"/>
    <w:semiHidden/>
    <w:qFormat/>
    <w:uiPriority w:val="99"/>
    <w:rPr>
      <w:sz w:val="18"/>
      <w:szCs w:val="18"/>
    </w:rPr>
  </w:style>
  <w:style w:type="character" w:customStyle="1" w:styleId="18">
    <w:name w:val="批注文字 Char"/>
    <w:basedOn w:val="10"/>
    <w:link w:val="2"/>
    <w:semiHidden/>
    <w:qFormat/>
    <w:uiPriority w:val="99"/>
  </w:style>
  <w:style w:type="character" w:customStyle="1" w:styleId="19">
    <w:name w:val="批注主题 Char"/>
    <w:basedOn w:val="18"/>
    <w:link w:val="7"/>
    <w:semiHidden/>
    <w:qFormat/>
    <w:uiPriority w:val="99"/>
    <w:rPr>
      <w:b/>
      <w:bCs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93A6FA-F739-49A1-9A8D-C221BCE79C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194</Words>
  <Characters>1106</Characters>
  <Lines>9</Lines>
  <Paragraphs>2</Paragraphs>
  <TotalTime>88</TotalTime>
  <ScaleCrop>false</ScaleCrop>
  <LinksUpToDate>false</LinksUpToDate>
  <CharactersWithSpaces>1298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2018-06-09T20:55:00Z</dcterms:created>
  <dc:creator>李莉</dc:creator>
  <cp:lastModifiedBy>姜思彤</cp:lastModifiedBy>
  <cp:lastPrinted>2018-06-12T04:41:00Z</cp:lastPrinted>
  <dcterms:modified xsi:type="dcterms:W3CDTF">2019-08-07T03:18:25Z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